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F06" w:rsidRDefault="001D165F">
      <w:pPr>
        <w:spacing w:after="510" w:line="265" w:lineRule="auto"/>
        <w:ind w:left="10" w:right="-15" w:hanging="10"/>
        <w:jc w:val="right"/>
      </w:pPr>
      <w:r>
        <w:rPr>
          <w:sz w:val="24"/>
        </w:rPr>
        <w:t>2.07</w:t>
      </w:r>
    </w:p>
    <w:tbl>
      <w:tblPr>
        <w:tblStyle w:val="TableGrid"/>
        <w:tblW w:w="8688" w:type="dxa"/>
        <w:tblInd w:w="-2890" w:type="dxa"/>
        <w:tblCellMar>
          <w:top w:w="6" w:type="dxa"/>
          <w:left w:w="0" w:type="dxa"/>
          <w:bottom w:w="2" w:type="dxa"/>
          <w:right w:w="0" w:type="dxa"/>
        </w:tblCellMar>
        <w:tblLook w:val="04A0" w:firstRow="1" w:lastRow="0" w:firstColumn="1" w:lastColumn="0" w:noHBand="0" w:noVBand="1"/>
      </w:tblPr>
      <w:tblGrid>
        <w:gridCol w:w="2890"/>
        <w:gridCol w:w="5798"/>
      </w:tblGrid>
      <w:tr w:rsidR="00970F06">
        <w:trPr>
          <w:trHeight w:val="553"/>
        </w:trPr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</w:tcPr>
          <w:p w:rsidR="00970F06" w:rsidRDefault="001D165F">
            <w:pPr>
              <w:spacing w:after="0"/>
            </w:pPr>
            <w:bookmarkStart w:id="0" w:name="_GoBack"/>
            <w:r>
              <w:rPr>
                <w:sz w:val="32"/>
              </w:rPr>
              <w:t>TITLE: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970F06" w:rsidRDefault="001D165F">
            <w:pPr>
              <w:spacing w:after="0"/>
              <w:ind w:left="19"/>
            </w:pPr>
            <w:r>
              <w:rPr>
                <w:sz w:val="30"/>
              </w:rPr>
              <w:t>Special Education Teacher</w:t>
            </w:r>
          </w:p>
        </w:tc>
      </w:tr>
      <w:tr w:rsidR="00970F06">
        <w:trPr>
          <w:trHeight w:val="1966"/>
        </w:trPr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</w:tcPr>
          <w:p w:rsidR="00970F06" w:rsidRDefault="001D165F">
            <w:pPr>
              <w:spacing w:after="0"/>
            </w:pPr>
            <w:r>
              <w:rPr>
                <w:sz w:val="30"/>
              </w:rPr>
              <w:t>QUALIFICATIONS: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F06" w:rsidRDefault="001D165F">
            <w:pPr>
              <w:numPr>
                <w:ilvl w:val="0"/>
                <w:numId w:val="2"/>
              </w:numPr>
              <w:spacing w:after="0"/>
              <w:ind w:hanging="384"/>
            </w:pPr>
            <w:r>
              <w:rPr>
                <w:sz w:val="28"/>
              </w:rPr>
              <w:t>Bachelor's Degree from an accredited institution.</w:t>
            </w:r>
          </w:p>
          <w:p w:rsidR="00970F06" w:rsidRDefault="001D165F">
            <w:pPr>
              <w:numPr>
                <w:ilvl w:val="0"/>
                <w:numId w:val="2"/>
              </w:numPr>
              <w:spacing w:after="0" w:line="216" w:lineRule="auto"/>
              <w:ind w:hanging="384"/>
            </w:pPr>
            <w:r>
              <w:rPr>
                <w:sz w:val="28"/>
              </w:rPr>
              <w:t>A valid Tennessee teaching certificate with endorsement in Special Education.</w:t>
            </w:r>
          </w:p>
          <w:p w:rsidR="00970F06" w:rsidRDefault="001D165F">
            <w:pPr>
              <w:numPr>
                <w:ilvl w:val="0"/>
                <w:numId w:val="2"/>
              </w:numPr>
              <w:spacing w:after="0"/>
              <w:ind w:hanging="384"/>
            </w:pPr>
            <w:r>
              <w:rPr>
                <w:sz w:val="26"/>
              </w:rPr>
              <w:t>Willingness and ability to work with eligible students.</w:t>
            </w:r>
          </w:p>
        </w:tc>
      </w:tr>
      <w:tr w:rsidR="00970F06">
        <w:trPr>
          <w:trHeight w:val="942"/>
        </w:trPr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</w:tcPr>
          <w:p w:rsidR="00970F06" w:rsidRDefault="001D165F">
            <w:pPr>
              <w:spacing w:after="0"/>
              <w:ind w:left="10"/>
            </w:pPr>
            <w:r>
              <w:rPr>
                <w:sz w:val="32"/>
              </w:rPr>
              <w:t>REPORTS TO: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F06" w:rsidRDefault="001D165F">
            <w:pPr>
              <w:spacing w:after="0"/>
              <w:ind w:left="19" w:firstLine="10"/>
            </w:pPr>
            <w:r>
              <w:rPr>
                <w:sz w:val="28"/>
              </w:rPr>
              <w:t>Principal, Special Education Supervisor, and Special Education Assistant Supervisor</w:t>
            </w:r>
          </w:p>
        </w:tc>
      </w:tr>
      <w:tr w:rsidR="00970F06">
        <w:trPr>
          <w:trHeight w:val="384"/>
        </w:trPr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F06" w:rsidRDefault="001D165F">
            <w:pPr>
              <w:spacing w:after="0"/>
            </w:pPr>
            <w:r>
              <w:rPr>
                <w:sz w:val="32"/>
              </w:rPr>
              <w:t>JOB GOAL: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F06" w:rsidRDefault="001D165F">
            <w:pPr>
              <w:spacing w:after="0"/>
              <w:ind w:left="10"/>
            </w:pPr>
            <w:r>
              <w:rPr>
                <w:sz w:val="26"/>
              </w:rPr>
              <w:t>To provide each eligible student with a program that</w:t>
            </w:r>
          </w:p>
        </w:tc>
      </w:tr>
    </w:tbl>
    <w:p w:rsidR="00970F06" w:rsidRDefault="001D165F">
      <w:pPr>
        <w:spacing w:after="266" w:line="216" w:lineRule="auto"/>
        <w:ind w:left="33" w:right="715" w:hanging="19"/>
        <w:jc w:val="both"/>
      </w:pPr>
      <w:r>
        <w:rPr>
          <w:sz w:val="26"/>
        </w:rPr>
        <w:t>will enable him/her to reach his/her fullest physical, emotional, psychological, and behavioral potential</w:t>
      </w:r>
      <w:r>
        <w:rPr>
          <w:noProof/>
        </w:rPr>
        <w:drawing>
          <wp:inline distT="0" distB="0" distL="0" distR="0">
            <wp:extent cx="18288" cy="24386"/>
            <wp:effectExtent l="0" t="0" r="0" b="0"/>
            <wp:docPr id="1235" name="Picture 12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5" name="Picture 123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24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F06" w:rsidRDefault="00970F06">
      <w:pPr>
        <w:sectPr w:rsidR="00970F06">
          <w:pgSz w:w="12240" w:h="15640"/>
          <w:pgMar w:top="691" w:right="979" w:bottom="634" w:left="4733" w:header="720" w:footer="720" w:gutter="0"/>
          <w:cols w:space="720"/>
        </w:sectPr>
      </w:pPr>
    </w:p>
    <w:p w:rsidR="00970F06" w:rsidRDefault="001D165F">
      <w:pPr>
        <w:spacing w:after="148"/>
        <w:ind w:left="10"/>
      </w:pPr>
      <w:r>
        <w:rPr>
          <w:sz w:val="32"/>
        </w:rPr>
        <w:lastRenderedPageBreak/>
        <w:t>PERFORMANCE RESPONSIBILITIES:</w:t>
      </w:r>
    </w:p>
    <w:p w:rsidR="00970F06" w:rsidRDefault="001D165F">
      <w:pPr>
        <w:spacing w:after="266" w:line="216" w:lineRule="auto"/>
        <w:ind w:left="379" w:right="715" w:hanging="365"/>
        <w:jc w:val="both"/>
      </w:pPr>
      <w:r>
        <w:rPr>
          <w:noProof/>
        </w:rPr>
        <w:drawing>
          <wp:inline distT="0" distB="0" distL="0" distR="0">
            <wp:extent cx="6096" cy="6097"/>
            <wp:effectExtent l="0" t="0" r="0" b="0"/>
            <wp:docPr id="1236" name="Picture 12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6" name="Picture 123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1. Provide a basic core program for eligible students consistent with state education code requirements.</w:t>
      </w:r>
    </w:p>
    <w:p w:rsidR="00970F06" w:rsidRDefault="001D165F">
      <w:pPr>
        <w:numPr>
          <w:ilvl w:val="0"/>
          <w:numId w:val="1"/>
        </w:numPr>
        <w:spacing w:after="237" w:line="216" w:lineRule="auto"/>
        <w:ind w:right="715" w:hanging="374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1146048</wp:posOffset>
            </wp:positionH>
            <wp:positionV relativeFrom="page">
              <wp:posOffset>3438496</wp:posOffset>
            </wp:positionV>
            <wp:extent cx="6096" cy="6097"/>
            <wp:effectExtent l="0" t="0" r="0" b="0"/>
            <wp:wrapTopAndBottom/>
            <wp:docPr id="1234" name="Picture 12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4" name="Picture 123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Works cooperatively with classroom teachers who have eligible students in regular classes, interpreting th</w:t>
      </w:r>
      <w:r>
        <w:rPr>
          <w:sz w:val="28"/>
        </w:rPr>
        <w:t>e abilities and disabilities of these students to the entire staff, and assisting the student with regular class assignments.</w:t>
      </w:r>
    </w:p>
    <w:p w:rsidR="00970F06" w:rsidRDefault="001D165F">
      <w:pPr>
        <w:numPr>
          <w:ilvl w:val="0"/>
          <w:numId w:val="1"/>
        </w:numPr>
        <w:spacing w:after="266" w:line="216" w:lineRule="auto"/>
        <w:ind w:right="715" w:hanging="374"/>
        <w:jc w:val="both"/>
      </w:pPr>
      <w:r>
        <w:rPr>
          <w:sz w:val="26"/>
        </w:rPr>
        <w:t>Confers frequently with parents and professional staff members regarding the educational, social, and personal problems of such st</w:t>
      </w:r>
      <w:r>
        <w:rPr>
          <w:sz w:val="26"/>
        </w:rPr>
        <w:t>udents.</w:t>
      </w:r>
    </w:p>
    <w:p w:rsidR="00970F06" w:rsidRDefault="001D165F">
      <w:pPr>
        <w:numPr>
          <w:ilvl w:val="0"/>
          <w:numId w:val="1"/>
        </w:numPr>
        <w:spacing w:after="266" w:line="216" w:lineRule="auto"/>
        <w:ind w:right="715" w:hanging="374"/>
        <w:jc w:val="both"/>
      </w:pPr>
      <w:r>
        <w:rPr>
          <w:sz w:val="26"/>
        </w:rPr>
        <w:t>Assists other professional staff members in resolving the unique psychological or disciplinary problems of eligible students.</w:t>
      </w:r>
    </w:p>
    <w:p w:rsidR="00970F06" w:rsidRDefault="001D165F">
      <w:pPr>
        <w:numPr>
          <w:ilvl w:val="0"/>
          <w:numId w:val="1"/>
        </w:numPr>
        <w:spacing w:after="263" w:line="216" w:lineRule="auto"/>
        <w:ind w:right="715" w:hanging="374"/>
        <w:jc w:val="both"/>
      </w:pPr>
      <w:r>
        <w:rPr>
          <w:sz w:val="28"/>
        </w:rPr>
        <w:t>Assists in screening, evaluating, and recommending placements of eligible students in the school's Special Education program.</w:t>
      </w:r>
    </w:p>
    <w:p w:rsidR="00970F06" w:rsidRDefault="001D165F">
      <w:pPr>
        <w:numPr>
          <w:ilvl w:val="0"/>
          <w:numId w:val="1"/>
        </w:numPr>
        <w:spacing w:after="266" w:line="216" w:lineRule="auto"/>
        <w:ind w:right="715" w:hanging="374"/>
        <w:jc w:val="both"/>
      </w:pPr>
      <w:r>
        <w:rPr>
          <w:sz w:val="26"/>
        </w:rPr>
        <w:t>Assists the eligible student in making a realistic assessment of his/her abilities and in establishing educational and occupationa</w:t>
      </w:r>
      <w:r>
        <w:rPr>
          <w:sz w:val="26"/>
        </w:rPr>
        <w:t>l goals in keeping with these abilities.</w:t>
      </w:r>
    </w:p>
    <w:p w:rsidR="00970F06" w:rsidRDefault="001D165F">
      <w:pPr>
        <w:numPr>
          <w:ilvl w:val="0"/>
          <w:numId w:val="1"/>
        </w:numPr>
        <w:spacing w:after="293" w:line="216" w:lineRule="auto"/>
        <w:ind w:right="715" w:hanging="374"/>
        <w:jc w:val="both"/>
      </w:pPr>
      <w:r>
        <w:rPr>
          <w:sz w:val="26"/>
        </w:rPr>
        <w:t>Counsels individuals and groups of eligible students with educational, occupational, and personal problems.</w:t>
      </w:r>
    </w:p>
    <w:p w:rsidR="00970F06" w:rsidRDefault="001D165F">
      <w:pPr>
        <w:numPr>
          <w:ilvl w:val="0"/>
          <w:numId w:val="1"/>
        </w:numPr>
        <w:spacing w:after="875" w:line="216" w:lineRule="auto"/>
        <w:ind w:right="715" w:hanging="374"/>
        <w:jc w:val="both"/>
      </w:pPr>
      <w:r>
        <w:rPr>
          <w:sz w:val="26"/>
        </w:rPr>
        <w:t>Provides motivation to eligible students who have a short attention span.</w:t>
      </w:r>
    </w:p>
    <w:p w:rsidR="00970F06" w:rsidRDefault="001D165F">
      <w:pPr>
        <w:tabs>
          <w:tab w:val="right" w:pos="9456"/>
        </w:tabs>
        <w:spacing w:after="317"/>
        <w:ind w:right="-10"/>
      </w:pPr>
      <w:r>
        <w:lastRenderedPageBreak/>
        <w:t>4/2011</w:t>
      </w:r>
      <w:r>
        <w:tab/>
      </w:r>
      <w:r>
        <w:t xml:space="preserve">Special Education Teacher </w:t>
      </w:r>
      <w:r>
        <w:t>Job Description</w:t>
      </w:r>
    </w:p>
    <w:p w:rsidR="00970F06" w:rsidRDefault="001D165F">
      <w:pPr>
        <w:spacing w:after="452" w:line="265" w:lineRule="auto"/>
        <w:ind w:left="10" w:right="-15" w:hanging="10"/>
        <w:jc w:val="right"/>
      </w:pPr>
      <w:r>
        <w:rPr>
          <w:sz w:val="24"/>
        </w:rPr>
        <w:t>2.07</w:t>
      </w:r>
    </w:p>
    <w:p w:rsidR="00970F06" w:rsidRDefault="001D165F">
      <w:pPr>
        <w:numPr>
          <w:ilvl w:val="0"/>
          <w:numId w:val="1"/>
        </w:numPr>
        <w:spacing w:after="241" w:line="216" w:lineRule="auto"/>
        <w:ind w:right="715" w:hanging="374"/>
        <w:jc w:val="both"/>
      </w:pPr>
      <w:r>
        <w:rPr>
          <w:sz w:val="26"/>
        </w:rPr>
        <w:t>Undertakes continuing professional study in the psychology of the handicapped student in teaching methods related to this field.</w:t>
      </w:r>
    </w:p>
    <w:p w:rsidR="00970F06" w:rsidRDefault="001D165F">
      <w:pPr>
        <w:numPr>
          <w:ilvl w:val="0"/>
          <w:numId w:val="1"/>
        </w:numPr>
        <w:spacing w:after="299" w:line="216" w:lineRule="auto"/>
        <w:ind w:right="715" w:hanging="374"/>
        <w:jc w:val="both"/>
      </w:pPr>
      <w:r>
        <w:rPr>
          <w:sz w:val="26"/>
        </w:rPr>
        <w:t>Keeps attendance records and all other records pertinent to the Special Education program for state report</w:t>
      </w:r>
      <w:r>
        <w:rPr>
          <w:sz w:val="26"/>
        </w:rPr>
        <w:t>s.</w:t>
      </w:r>
    </w:p>
    <w:p w:rsidR="00970F06" w:rsidRDefault="001D165F">
      <w:pPr>
        <w:numPr>
          <w:ilvl w:val="0"/>
          <w:numId w:val="1"/>
        </w:numPr>
        <w:spacing w:after="197" w:line="216" w:lineRule="auto"/>
        <w:ind w:right="715" w:hanging="374"/>
        <w:jc w:val="both"/>
      </w:pPr>
      <w:r>
        <w:rPr>
          <w:sz w:val="26"/>
        </w:rPr>
        <w:t xml:space="preserve">Maintains an up-to-date I.E.P. on all special education resource students and </w:t>
      </w:r>
      <w:r>
        <w:rPr>
          <w:noProof/>
        </w:rPr>
        <w:drawing>
          <wp:inline distT="0" distB="0" distL="0" distR="0">
            <wp:extent cx="6096" cy="6097"/>
            <wp:effectExtent l="0" t="0" r="0" b="0"/>
            <wp:docPr id="2465" name="Picture 24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5" name="Picture 246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modifies as determined by the IEP Team.</w:t>
      </w:r>
    </w:p>
    <w:p w:rsidR="00970F06" w:rsidRDefault="001D165F">
      <w:pPr>
        <w:numPr>
          <w:ilvl w:val="0"/>
          <w:numId w:val="1"/>
        </w:numPr>
        <w:spacing w:line="216" w:lineRule="auto"/>
        <w:ind w:right="715" w:hanging="374"/>
        <w:jc w:val="both"/>
      </w:pPr>
      <w:r>
        <w:rPr>
          <w:sz w:val="28"/>
        </w:rPr>
        <w:t>Actively participates in all S-Team and IEP Team meetings.</w:t>
      </w:r>
    </w:p>
    <w:p w:rsidR="00970F06" w:rsidRDefault="001D165F">
      <w:pPr>
        <w:numPr>
          <w:ilvl w:val="0"/>
          <w:numId w:val="1"/>
        </w:numPr>
        <w:spacing w:after="0" w:line="216" w:lineRule="auto"/>
        <w:ind w:right="715" w:hanging="374"/>
        <w:jc w:val="both"/>
      </w:pPr>
      <w:r>
        <w:rPr>
          <w:sz w:val="28"/>
        </w:rPr>
        <w:t>Adheres to all local, state and federal laws and guidelines pertaining to Special Education.</w:t>
      </w:r>
    </w:p>
    <w:p w:rsidR="00970F06" w:rsidRDefault="001D165F">
      <w:pPr>
        <w:spacing w:after="0"/>
        <w:ind w:left="8726"/>
      </w:pPr>
      <w:r>
        <w:rPr>
          <w:noProof/>
        </w:rPr>
        <w:drawing>
          <wp:inline distT="0" distB="0" distL="0" distR="0">
            <wp:extent cx="6096" cy="6097"/>
            <wp:effectExtent l="0" t="0" r="0" b="0"/>
            <wp:docPr id="2466" name="Picture 24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6" name="Picture 246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F06" w:rsidRDefault="001D165F">
      <w:pPr>
        <w:numPr>
          <w:ilvl w:val="0"/>
          <w:numId w:val="1"/>
        </w:numPr>
        <w:spacing w:after="47" w:line="216" w:lineRule="auto"/>
        <w:ind w:right="715" w:hanging="374"/>
        <w:jc w:val="both"/>
      </w:pPr>
      <w:r>
        <w:rPr>
          <w:sz w:val="26"/>
        </w:rPr>
        <w:t>Performs other duties as directed by the principal, supervisors, or Director of</w:t>
      </w:r>
    </w:p>
    <w:p w:rsidR="00970F06" w:rsidRDefault="001D165F">
      <w:pPr>
        <w:spacing w:after="586"/>
        <w:ind w:left="365"/>
      </w:pPr>
      <w:r>
        <w:rPr>
          <w:rFonts w:ascii="Courier New" w:eastAsia="Courier New" w:hAnsi="Courier New" w:cs="Courier New"/>
          <w:sz w:val="20"/>
        </w:rPr>
        <w:t>Schools.</w:t>
      </w:r>
    </w:p>
    <w:p w:rsidR="00970F06" w:rsidRDefault="001D165F">
      <w:pPr>
        <w:spacing w:after="0"/>
        <w:ind w:left="14" w:hanging="10"/>
      </w:pPr>
      <w:r>
        <w:rPr>
          <w:sz w:val="30"/>
        </w:rPr>
        <w:t>TERMS OF EMPLOYMENT:</w:t>
      </w:r>
    </w:p>
    <w:p w:rsidR="00970F06" w:rsidRDefault="001D165F">
      <w:pPr>
        <w:spacing w:after="491" w:line="216" w:lineRule="auto"/>
        <w:ind w:left="2189" w:right="724" w:hanging="10"/>
        <w:jc w:val="both"/>
      </w:pPr>
      <w:r>
        <w:rPr>
          <w:sz w:val="28"/>
        </w:rPr>
        <w:t xml:space="preserve">Ten, eleven, or twelve month year. Salary and work </w:t>
      </w:r>
      <w:r>
        <w:rPr>
          <w:sz w:val="28"/>
        </w:rPr>
        <w:t>to be established by the Board and Career Ladder status.</w:t>
      </w:r>
    </w:p>
    <w:p w:rsidR="00970F06" w:rsidRDefault="001D165F">
      <w:pPr>
        <w:spacing w:after="0"/>
        <w:ind w:left="14" w:hanging="10"/>
      </w:pPr>
      <w:r>
        <w:rPr>
          <w:sz w:val="30"/>
        </w:rPr>
        <w:t>EVALUATION:</w:t>
      </w:r>
    </w:p>
    <w:p w:rsidR="00970F06" w:rsidRDefault="001D165F">
      <w:pPr>
        <w:spacing w:after="1051" w:line="216" w:lineRule="auto"/>
        <w:ind w:left="2199" w:right="883" w:hanging="10"/>
        <w:jc w:val="both"/>
      </w:pPr>
      <w:r>
        <w:rPr>
          <w:sz w:val="28"/>
        </w:rPr>
        <w:t>Performance of this job will be evaluated in accordance with provisions of the Board's policy on Evaluation of Professional Personnel.</w:t>
      </w:r>
    </w:p>
    <w:p w:rsidR="00970F06" w:rsidRDefault="001D165F">
      <w:pPr>
        <w:spacing w:after="0"/>
        <w:ind w:left="14" w:hanging="10"/>
      </w:pPr>
      <w:r>
        <w:rPr>
          <w:sz w:val="30"/>
        </w:rPr>
        <w:t>Approved by:Date:</w:t>
      </w:r>
    </w:p>
    <w:p w:rsidR="00970F06" w:rsidRDefault="001D165F">
      <w:pPr>
        <w:spacing w:after="580"/>
        <w:ind w:left="1622"/>
      </w:pPr>
      <w:r>
        <w:rPr>
          <w:noProof/>
        </w:rPr>
        <w:drawing>
          <wp:inline distT="0" distB="0" distL="0" distR="0">
            <wp:extent cx="4450081" cy="24386"/>
            <wp:effectExtent l="0" t="0" r="0" b="0"/>
            <wp:docPr id="5244" name="Picture 52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44" name="Picture 524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50081" cy="24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F06" w:rsidRDefault="001D165F">
      <w:pPr>
        <w:spacing w:after="0"/>
        <w:ind w:left="14" w:hanging="10"/>
      </w:pPr>
      <w:r>
        <w:rPr>
          <w:sz w:val="30"/>
        </w:rPr>
        <w:t>Reviewed and agree to by:Date:</w:t>
      </w:r>
    </w:p>
    <w:p w:rsidR="00970F06" w:rsidRDefault="001D165F">
      <w:pPr>
        <w:tabs>
          <w:tab w:val="center" w:pos="3864"/>
          <w:tab w:val="center" w:pos="7632"/>
        </w:tabs>
        <w:spacing w:after="3431" w:line="216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1987296</wp:posOffset>
                </wp:positionH>
                <wp:positionV relativeFrom="paragraph">
                  <wp:posOffset>0</wp:posOffset>
                </wp:positionV>
                <wp:extent cx="1804416" cy="12193"/>
                <wp:effectExtent l="0" t="0" r="0" b="0"/>
                <wp:wrapSquare wrapText="bothSides"/>
                <wp:docPr id="5249" name="Group 5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4416" cy="12193"/>
                          <a:chOff x="0" y="0"/>
                          <a:chExt cx="1804416" cy="12193"/>
                        </a:xfrm>
                      </wpg:grpSpPr>
                      <wps:wsp>
                        <wps:cNvPr id="5248" name="Shape 5248"/>
                        <wps:cNvSpPr/>
                        <wps:spPr>
                          <a:xfrm>
                            <a:off x="0" y="0"/>
                            <a:ext cx="1804416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4416" h="12193">
                                <a:moveTo>
                                  <a:pt x="0" y="6097"/>
                                </a:moveTo>
                                <a:lnTo>
                                  <a:pt x="1804416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249" style="width:142.08pt;height:0.960083pt;position:absolute;mso-position-horizontal-relative:text;mso-position-horizontal:absolute;margin-left:156.48pt;mso-position-vertical-relative:text;margin-top:0pt;" coordsize="18044,121">
                <v:shape id="Shape 5248" style="position:absolute;width:18044;height:121;left:0;top:0;" coordsize="1804416,12193" path="m0,6097l1804416,6097">
                  <v:stroke weight="0.960083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sz w:val="28"/>
        </w:rPr>
        <w:tab/>
        <w:t>(Employee)</w:t>
      </w:r>
      <w:r>
        <w:rPr>
          <w:sz w:val="28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292352" cy="12193"/>
                <wp:effectExtent l="0" t="0" r="0" b="0"/>
                <wp:docPr id="5247" name="Group 52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2352" cy="12193"/>
                          <a:chOff x="0" y="0"/>
                          <a:chExt cx="1292352" cy="12193"/>
                        </a:xfrm>
                      </wpg:grpSpPr>
                      <wps:wsp>
                        <wps:cNvPr id="5246" name="Shape 5246"/>
                        <wps:cNvSpPr/>
                        <wps:spPr>
                          <a:xfrm>
                            <a:off x="0" y="0"/>
                            <a:ext cx="1292352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2352" h="12193">
                                <a:moveTo>
                                  <a:pt x="0" y="6097"/>
                                </a:moveTo>
                                <a:lnTo>
                                  <a:pt x="1292352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247" style="width:101.76pt;height:0.960083pt;mso-position-horizontal-relative:char;mso-position-vertical-relative:line" coordsize="12923,121">
                <v:shape id="Shape 5246" style="position:absolute;width:12923;height:121;left:0;top:0;" coordsize="1292352,12193" path="m0,6097l1292352,6097">
                  <v:stroke weight="0.96008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bookmarkEnd w:id="0"/>
    <w:p w:rsidR="00970F06" w:rsidRDefault="001D165F">
      <w:pPr>
        <w:tabs>
          <w:tab w:val="right" w:pos="9456"/>
        </w:tabs>
        <w:spacing w:after="317"/>
        <w:ind w:right="-10"/>
      </w:pPr>
      <w:r>
        <w:lastRenderedPageBreak/>
        <w:t>4/2011</w:t>
      </w:r>
      <w:r>
        <w:tab/>
      </w:r>
      <w:r>
        <w:t>Special Education Teacher Job Description</w:t>
      </w:r>
    </w:p>
    <w:sectPr w:rsidR="00970F06">
      <w:type w:val="continuous"/>
      <w:pgSz w:w="12240" w:h="15640"/>
      <w:pgMar w:top="682" w:right="950" w:bottom="634" w:left="18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E73B2"/>
    <w:multiLevelType w:val="hybridMultilevel"/>
    <w:tmpl w:val="A010FB20"/>
    <w:lvl w:ilvl="0" w:tplc="9FDC6A98">
      <w:start w:val="2"/>
      <w:numFmt w:val="decimal"/>
      <w:lvlText w:val="%1."/>
      <w:lvlJc w:val="left"/>
      <w:pPr>
        <w:ind w:left="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6928DE2">
      <w:start w:val="1"/>
      <w:numFmt w:val="lowerLetter"/>
      <w:lvlText w:val="%2"/>
      <w:lvlJc w:val="left"/>
      <w:pPr>
        <w:ind w:left="1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A1EF7AE">
      <w:start w:val="1"/>
      <w:numFmt w:val="lowerRoman"/>
      <w:lvlText w:val="%3"/>
      <w:lvlJc w:val="left"/>
      <w:pPr>
        <w:ind w:left="1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A7C25FE">
      <w:start w:val="1"/>
      <w:numFmt w:val="decimal"/>
      <w:lvlText w:val="%4"/>
      <w:lvlJc w:val="left"/>
      <w:pPr>
        <w:ind w:left="2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7F456A0">
      <w:start w:val="1"/>
      <w:numFmt w:val="lowerLetter"/>
      <w:lvlText w:val="%5"/>
      <w:lvlJc w:val="left"/>
      <w:pPr>
        <w:ind w:left="3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49E7CAA">
      <w:start w:val="1"/>
      <w:numFmt w:val="lowerRoman"/>
      <w:lvlText w:val="%6"/>
      <w:lvlJc w:val="left"/>
      <w:pPr>
        <w:ind w:left="3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E2C95FC">
      <w:start w:val="1"/>
      <w:numFmt w:val="decimal"/>
      <w:lvlText w:val="%7"/>
      <w:lvlJc w:val="left"/>
      <w:pPr>
        <w:ind w:left="4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C9EF476">
      <w:start w:val="1"/>
      <w:numFmt w:val="lowerLetter"/>
      <w:lvlText w:val="%8"/>
      <w:lvlJc w:val="left"/>
      <w:pPr>
        <w:ind w:left="5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0AA36C4">
      <w:start w:val="1"/>
      <w:numFmt w:val="lowerRoman"/>
      <w:lvlText w:val="%9"/>
      <w:lvlJc w:val="left"/>
      <w:pPr>
        <w:ind w:left="6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0DD1AFA"/>
    <w:multiLevelType w:val="hybridMultilevel"/>
    <w:tmpl w:val="58EE09A6"/>
    <w:lvl w:ilvl="0" w:tplc="6BECA798">
      <w:start w:val="1"/>
      <w:numFmt w:val="decimal"/>
      <w:lvlText w:val="%1."/>
      <w:lvlJc w:val="left"/>
      <w:pPr>
        <w:ind w:left="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DC2AE2">
      <w:start w:val="1"/>
      <w:numFmt w:val="lowerLetter"/>
      <w:lvlText w:val="%2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9616FC">
      <w:start w:val="1"/>
      <w:numFmt w:val="lowerRoman"/>
      <w:lvlText w:val="%3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F053D8">
      <w:start w:val="1"/>
      <w:numFmt w:val="decimal"/>
      <w:lvlText w:val="%4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C4AD86">
      <w:start w:val="1"/>
      <w:numFmt w:val="lowerLetter"/>
      <w:lvlText w:val="%5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F64194">
      <w:start w:val="1"/>
      <w:numFmt w:val="lowerRoman"/>
      <w:lvlText w:val="%6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5A8D8E">
      <w:start w:val="1"/>
      <w:numFmt w:val="decimal"/>
      <w:lvlText w:val="%7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7CE112">
      <w:start w:val="1"/>
      <w:numFmt w:val="lowerLetter"/>
      <w:lvlText w:val="%8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FC9DC0">
      <w:start w:val="1"/>
      <w:numFmt w:val="lowerRoman"/>
      <w:lvlText w:val="%9"/>
      <w:lvlJc w:val="left"/>
      <w:pPr>
        <w:ind w:left="6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06"/>
    <w:rsid w:val="001D165F"/>
    <w:rsid w:val="0097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C6C0D822-8FC5-4DA5-ADB1-78D05D9D4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Greene County Schools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PRUITT</dc:creator>
  <cp:keywords/>
  <cp:lastModifiedBy>MELINDA PRUITT</cp:lastModifiedBy>
  <cp:revision>2</cp:revision>
  <dcterms:created xsi:type="dcterms:W3CDTF">2020-05-26T20:18:00Z</dcterms:created>
  <dcterms:modified xsi:type="dcterms:W3CDTF">2020-05-26T20:18:00Z</dcterms:modified>
</cp:coreProperties>
</file>